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华文楷体"/>
          <w:bCs/>
        </w:rPr>
      </w:pPr>
      <w:r>
        <w:rPr>
          <w:rFonts w:hint="eastAsia" w:ascii="黑体" w:hAnsi="黑体" w:eastAsia="黑体" w:cs="华文楷体"/>
          <w:bCs/>
        </w:rPr>
        <w:t>附件2</w:t>
      </w:r>
    </w:p>
    <w:p>
      <w:pPr>
        <w:jc w:val="center"/>
        <w:rPr>
          <w:rFonts w:ascii="黑体" w:hAnsi="黑体" w:eastAsia="黑体" w:cs="华文楷体"/>
          <w:bCs/>
        </w:rPr>
      </w:pPr>
    </w:p>
    <w:p>
      <w:pPr>
        <w:spacing w:line="520" w:lineRule="exact"/>
        <w:jc w:val="center"/>
        <w:rPr>
          <w:rFonts w:hint="eastAsia" w:ascii="方正小标宋简体" w:hAnsi="华文中宋" w:eastAsia="方正小标宋简体" w:cs="华文楷体"/>
          <w:bCs/>
          <w:sz w:val="36"/>
        </w:rPr>
      </w:pPr>
      <w:r>
        <w:rPr>
          <w:rFonts w:hint="eastAsia" w:ascii="方正小标宋简体" w:hAnsi="华文中宋" w:eastAsia="方正小标宋简体" w:cs="华文楷体"/>
          <w:bCs/>
          <w:sz w:val="36"/>
        </w:rPr>
        <w:t>企业变更登记、注销登记前置审批事项指导目录</w:t>
      </w:r>
    </w:p>
    <w:p>
      <w:pPr>
        <w:jc w:val="center"/>
        <w:rPr>
          <w:rFonts w:hint="eastAsia" w:ascii="黑体" w:hAnsi="黑体" w:eastAsia="黑体" w:cs="华文楷体"/>
          <w:bCs/>
        </w:rPr>
      </w:pPr>
      <w:r>
        <w:rPr>
          <w:rFonts w:hint="eastAsia" w:hAnsi="仿宋_GB2312"/>
        </w:rPr>
        <w:t>（2017年11月）</w:t>
      </w:r>
    </w:p>
    <w:tbl>
      <w:tblPr>
        <w:tblStyle w:val="5"/>
        <w:tblW w:w="10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
      <w:tblGrid>
        <w:gridCol w:w="837"/>
        <w:gridCol w:w="3483"/>
        <w:gridCol w:w="1920"/>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325" w:hRule="atLeast"/>
          <w:tblHeader/>
          <w:jc w:val="center"/>
        </w:trPr>
        <w:tc>
          <w:tcPr>
            <w:tcW w:w="837" w:type="dxa"/>
            <w:vAlign w:val="center"/>
          </w:tcPr>
          <w:p>
            <w:pPr>
              <w:adjustRightInd w:val="0"/>
              <w:snapToGrid w:val="0"/>
              <w:spacing w:line="320" w:lineRule="exact"/>
              <w:jc w:val="center"/>
              <w:rPr>
                <w:rFonts w:ascii="宋体" w:hAnsi="宋体" w:eastAsia="宋体" w:cs="黑体"/>
                <w:b/>
                <w:bCs/>
                <w:color w:val="000000"/>
                <w:sz w:val="20"/>
                <w:szCs w:val="20"/>
              </w:rPr>
            </w:pPr>
            <w:r>
              <w:rPr>
                <w:rFonts w:hint="eastAsia" w:ascii="宋体" w:hAnsi="宋体" w:eastAsia="宋体" w:cs="黑体"/>
                <w:b/>
                <w:bCs/>
                <w:color w:val="000000"/>
                <w:sz w:val="20"/>
                <w:szCs w:val="20"/>
              </w:rPr>
              <w:t>序号</w:t>
            </w:r>
          </w:p>
        </w:tc>
        <w:tc>
          <w:tcPr>
            <w:tcW w:w="3483" w:type="dxa"/>
            <w:vAlign w:val="center"/>
          </w:tcPr>
          <w:p>
            <w:pPr>
              <w:adjustRightInd w:val="0"/>
              <w:snapToGrid w:val="0"/>
              <w:spacing w:line="340" w:lineRule="exact"/>
              <w:jc w:val="center"/>
              <w:rPr>
                <w:rFonts w:hint="eastAsia" w:ascii="宋体" w:hAnsi="宋体" w:eastAsia="宋体" w:cs="仿宋_GB2312"/>
                <w:b/>
                <w:bCs/>
                <w:color w:val="000000"/>
                <w:sz w:val="20"/>
                <w:szCs w:val="20"/>
              </w:rPr>
            </w:pPr>
            <w:r>
              <w:rPr>
                <w:rFonts w:hint="eastAsia" w:ascii="宋体" w:hAnsi="宋体" w:eastAsia="宋体" w:cs="仿宋_GB2312"/>
                <w:b/>
                <w:bCs/>
                <w:color w:val="000000"/>
                <w:sz w:val="20"/>
                <w:szCs w:val="20"/>
              </w:rPr>
              <w:t>项目名称</w:t>
            </w:r>
          </w:p>
        </w:tc>
        <w:tc>
          <w:tcPr>
            <w:tcW w:w="1920" w:type="dxa"/>
            <w:vAlign w:val="center"/>
          </w:tcPr>
          <w:p>
            <w:pPr>
              <w:adjustRightInd w:val="0"/>
              <w:snapToGrid w:val="0"/>
              <w:spacing w:line="340" w:lineRule="exact"/>
              <w:jc w:val="center"/>
              <w:rPr>
                <w:rFonts w:hint="eastAsia" w:ascii="宋体" w:hAnsi="宋体" w:eastAsia="宋体" w:cs="仿宋_GB2312"/>
                <w:b/>
                <w:bCs/>
                <w:color w:val="000000"/>
                <w:sz w:val="20"/>
                <w:szCs w:val="20"/>
              </w:rPr>
            </w:pPr>
            <w:r>
              <w:rPr>
                <w:rFonts w:hint="eastAsia" w:ascii="宋体" w:hAnsi="宋体" w:eastAsia="宋体" w:cs="仿宋_GB2312"/>
                <w:b/>
                <w:bCs/>
                <w:color w:val="000000"/>
                <w:sz w:val="20"/>
                <w:szCs w:val="20"/>
              </w:rPr>
              <w:t>实施部门</w:t>
            </w:r>
          </w:p>
        </w:tc>
        <w:tc>
          <w:tcPr>
            <w:tcW w:w="3932" w:type="dxa"/>
            <w:vAlign w:val="center"/>
          </w:tcPr>
          <w:p>
            <w:pPr>
              <w:adjustRightInd w:val="0"/>
              <w:snapToGrid w:val="0"/>
              <w:spacing w:line="340" w:lineRule="exact"/>
              <w:jc w:val="center"/>
              <w:rPr>
                <w:rFonts w:hint="eastAsia" w:ascii="宋体" w:hAnsi="宋体" w:eastAsia="宋体" w:cs="仿宋_GB2312"/>
                <w:b/>
                <w:bCs/>
                <w:color w:val="000000"/>
                <w:sz w:val="20"/>
                <w:szCs w:val="20"/>
              </w:rPr>
            </w:pPr>
            <w:r>
              <w:rPr>
                <w:rFonts w:hint="eastAsia" w:ascii="宋体" w:hAnsi="宋体" w:eastAsia="宋体" w:cs="仿宋_GB2312"/>
                <w:b/>
                <w:bCs/>
                <w:color w:val="000000"/>
                <w:sz w:val="20"/>
                <w:szCs w:val="20"/>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35"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w:t>
            </w:r>
          </w:p>
        </w:tc>
        <w:tc>
          <w:tcPr>
            <w:tcW w:w="3483" w:type="dxa"/>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民用爆炸物品销售</w:t>
            </w:r>
          </w:p>
        </w:tc>
        <w:tc>
          <w:tcPr>
            <w:tcW w:w="1920" w:type="dxa"/>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省级人民政府民用爆炸物品行业主管部门</w:t>
            </w:r>
          </w:p>
        </w:tc>
        <w:tc>
          <w:tcPr>
            <w:tcW w:w="3932" w:type="dxa"/>
            <w:vAlign w:val="center"/>
          </w:tcPr>
          <w:p>
            <w:pPr>
              <w:pStyle w:val="6"/>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《民用爆炸物品安全管理条例》（国务院令第653号）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35"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w:t>
            </w:r>
          </w:p>
        </w:tc>
        <w:tc>
          <w:tcPr>
            <w:tcW w:w="3483" w:type="dxa"/>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保安服务企业变更法定代表人</w:t>
            </w:r>
          </w:p>
        </w:tc>
        <w:tc>
          <w:tcPr>
            <w:tcW w:w="1920" w:type="dxa"/>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省级人民政府公安机关</w:t>
            </w:r>
          </w:p>
        </w:tc>
        <w:tc>
          <w:tcPr>
            <w:tcW w:w="3932" w:type="dxa"/>
            <w:vAlign w:val="center"/>
          </w:tcPr>
          <w:p>
            <w:pPr>
              <w:pStyle w:val="6"/>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《保安服务管理条例》（国务院令第564号）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35"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3</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宋体"/>
                <w:color w:val="000000"/>
                <w:kern w:val="0"/>
                <w:sz w:val="20"/>
                <w:szCs w:val="20"/>
              </w:rPr>
              <w:t>经营劳务派遣业务许可</w:t>
            </w:r>
          </w:p>
        </w:tc>
        <w:tc>
          <w:tcPr>
            <w:tcW w:w="1920" w:type="dxa"/>
            <w:vAlign w:val="center"/>
          </w:tcPr>
          <w:p>
            <w:pPr>
              <w:adjustRightInd w:val="0"/>
              <w:snapToGrid w:val="0"/>
              <w:spacing w:line="34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县级以上地方人力资源社会保障部门</w:t>
            </w:r>
          </w:p>
        </w:tc>
        <w:tc>
          <w:tcPr>
            <w:tcW w:w="3932" w:type="dxa"/>
            <w:vAlign w:val="center"/>
          </w:tcPr>
          <w:p>
            <w:pPr>
              <w:pStyle w:val="6"/>
              <w:adjustRightInd w:val="0"/>
              <w:snapToGrid w:val="0"/>
              <w:spacing w:line="340" w:lineRule="exact"/>
              <w:rPr>
                <w:rFonts w:hint="eastAsia" w:ascii="宋体" w:hAnsi="宋体" w:cs="宋体"/>
                <w:color w:val="000000"/>
                <w:kern w:val="0"/>
                <w:sz w:val="20"/>
                <w:szCs w:val="20"/>
              </w:rPr>
            </w:pPr>
            <w:r>
              <w:rPr>
                <w:rFonts w:hint="eastAsia" w:ascii="宋体" w:hAnsi="宋体"/>
                <w:color w:val="000000"/>
                <w:sz w:val="20"/>
                <w:szCs w:val="20"/>
              </w:rPr>
              <w:t>《中华人民共和国劳动合同法》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4</w:t>
            </w:r>
          </w:p>
        </w:tc>
        <w:tc>
          <w:tcPr>
            <w:tcW w:w="3483" w:type="dxa"/>
            <w:vAlign w:val="center"/>
          </w:tcPr>
          <w:p>
            <w:pPr>
              <w:pStyle w:val="6"/>
              <w:adjustRightInd w:val="0"/>
              <w:snapToGrid w:val="0"/>
              <w:spacing w:line="340" w:lineRule="exact"/>
              <w:rPr>
                <w:rFonts w:hint="eastAsia" w:ascii="宋体" w:hAnsi="宋体" w:cs="仿宋_GB2312"/>
                <w:color w:val="000000"/>
                <w:sz w:val="20"/>
                <w:szCs w:val="20"/>
              </w:rPr>
            </w:pPr>
            <w:r>
              <w:rPr>
                <w:rFonts w:hint="eastAsia" w:ascii="宋体" w:hAnsi="宋体" w:cs="仿宋_GB2312"/>
                <w:color w:val="000000"/>
                <w:sz w:val="20"/>
                <w:szCs w:val="20"/>
              </w:rPr>
              <w:t>直销企业及其分支机构设立和变更审批</w:t>
            </w:r>
          </w:p>
        </w:tc>
        <w:tc>
          <w:tcPr>
            <w:tcW w:w="1920" w:type="dxa"/>
            <w:vAlign w:val="center"/>
          </w:tcPr>
          <w:p>
            <w:pPr>
              <w:pStyle w:val="6"/>
              <w:adjustRightInd w:val="0"/>
              <w:snapToGrid w:val="0"/>
              <w:spacing w:line="340" w:lineRule="exact"/>
              <w:jc w:val="center"/>
              <w:rPr>
                <w:rFonts w:hint="eastAsia" w:ascii="宋体" w:hAnsi="宋体" w:cs="仿宋_GB2312"/>
                <w:color w:val="000000"/>
                <w:sz w:val="20"/>
                <w:szCs w:val="20"/>
              </w:rPr>
            </w:pPr>
            <w:r>
              <w:rPr>
                <w:rFonts w:hint="eastAsia" w:ascii="宋体" w:hAnsi="宋体" w:cs="仿宋_GB2312"/>
                <w:color w:val="000000"/>
                <w:sz w:val="20"/>
                <w:szCs w:val="20"/>
              </w:rPr>
              <w:t>商务部</w:t>
            </w:r>
          </w:p>
        </w:tc>
        <w:tc>
          <w:tcPr>
            <w:tcW w:w="3932" w:type="dxa"/>
            <w:vAlign w:val="center"/>
          </w:tcPr>
          <w:p>
            <w:pPr>
              <w:pStyle w:val="6"/>
              <w:adjustRightInd w:val="0"/>
              <w:snapToGrid w:val="0"/>
              <w:spacing w:line="340" w:lineRule="exact"/>
              <w:rPr>
                <w:rFonts w:hint="eastAsia" w:ascii="宋体" w:hAnsi="宋体" w:cs="仿宋_GB2312"/>
                <w:color w:val="000000"/>
                <w:sz w:val="20"/>
                <w:szCs w:val="20"/>
              </w:rPr>
            </w:pPr>
            <w:r>
              <w:rPr>
                <w:rFonts w:hint="eastAsia" w:ascii="宋体" w:hAnsi="宋体" w:cs="仿宋_GB2312"/>
                <w:color w:val="000000"/>
                <w:sz w:val="20"/>
                <w:szCs w:val="20"/>
              </w:rPr>
              <w:t>《直销管理条例》（国务院令第443号）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5</w:t>
            </w:r>
          </w:p>
        </w:tc>
        <w:tc>
          <w:tcPr>
            <w:tcW w:w="3483" w:type="dxa"/>
            <w:vAlign w:val="center"/>
          </w:tcPr>
          <w:p>
            <w:pPr>
              <w:pStyle w:val="6"/>
              <w:adjustRightInd w:val="0"/>
              <w:snapToGrid w:val="0"/>
              <w:spacing w:line="340" w:lineRule="exact"/>
              <w:rPr>
                <w:rFonts w:hint="eastAsia" w:ascii="宋体" w:hAnsi="宋体" w:cs="仿宋_GB2312"/>
                <w:color w:val="000000"/>
                <w:sz w:val="20"/>
                <w:szCs w:val="20"/>
              </w:rPr>
            </w:pPr>
            <w:r>
              <w:rPr>
                <w:rFonts w:hint="eastAsia" w:ascii="宋体" w:hAnsi="宋体" w:cs="仿宋_GB2312"/>
                <w:color w:val="000000"/>
                <w:sz w:val="20"/>
                <w:szCs w:val="20"/>
              </w:rPr>
              <w:t>对外劳务合作经营资格核准</w:t>
            </w:r>
          </w:p>
        </w:tc>
        <w:tc>
          <w:tcPr>
            <w:tcW w:w="1920" w:type="dxa"/>
            <w:vAlign w:val="center"/>
          </w:tcPr>
          <w:p>
            <w:pPr>
              <w:pStyle w:val="6"/>
              <w:adjustRightInd w:val="0"/>
              <w:snapToGrid w:val="0"/>
              <w:spacing w:line="340" w:lineRule="exact"/>
              <w:jc w:val="center"/>
              <w:rPr>
                <w:rFonts w:hint="eastAsia" w:ascii="宋体" w:hAnsi="宋体" w:cs="仿宋_GB2312"/>
                <w:color w:val="000000"/>
                <w:sz w:val="20"/>
                <w:szCs w:val="20"/>
              </w:rPr>
            </w:pPr>
            <w:r>
              <w:rPr>
                <w:rFonts w:hint="eastAsia" w:ascii="宋体" w:hAnsi="宋体" w:cs="仿宋_GB2312"/>
                <w:color w:val="000000"/>
                <w:sz w:val="20"/>
                <w:szCs w:val="20"/>
              </w:rPr>
              <w:t>省级或者设区的市级人民政府商务行政主管部门</w:t>
            </w:r>
          </w:p>
        </w:tc>
        <w:tc>
          <w:tcPr>
            <w:tcW w:w="3932" w:type="dxa"/>
            <w:vAlign w:val="center"/>
          </w:tcPr>
          <w:p>
            <w:pPr>
              <w:pStyle w:val="6"/>
              <w:adjustRightInd w:val="0"/>
              <w:snapToGrid w:val="0"/>
              <w:spacing w:line="340" w:lineRule="exact"/>
              <w:rPr>
                <w:rFonts w:hint="eastAsia" w:ascii="宋体" w:hAnsi="宋体" w:cs="仿宋_GB2312"/>
                <w:color w:val="000000"/>
                <w:sz w:val="20"/>
                <w:szCs w:val="20"/>
              </w:rPr>
            </w:pPr>
            <w:r>
              <w:rPr>
                <w:rFonts w:hint="eastAsia" w:ascii="宋体" w:hAnsi="宋体" w:cs="仿宋_GB2312"/>
                <w:color w:val="000000"/>
                <w:sz w:val="20"/>
                <w:szCs w:val="20"/>
              </w:rPr>
              <w:t>《对外劳务合作管理条例》（国务院令第620号）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934"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6</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个人征信机构设立分支机构、合并或者分立、变更注册资本、变更出资额审批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人民银行</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《征信业管理条例》（国务院令第631号）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362"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7</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出版单位变更名称、主办单位或者其主管机关、业务范围、资本结构，合并或者分立，设立分支机构审批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新闻出版广电总局</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《出版管理条例》（国务院令第594号）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8</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出版物进口经营单位变更名称、业务范围、资本结构、主办单位或者其主管机关，合并或者分立，设立分支机构审批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新闻出版广电总局</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《出版管理条例》（国务院令第594号）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9</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印刷业经营者申请兼营或者变更从事出版物印刷经营活动审批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省级人民政府新闻出版广电行政主管部门</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《印刷业管理条例》（国务院令第315号）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31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10</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内资电影制片单位变更、终止审批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省级人民政府新闻出版广电行政主管部门</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《电影管理条例》（国务院令第342号）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815"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11</w:t>
            </w:r>
          </w:p>
        </w:tc>
        <w:tc>
          <w:tcPr>
            <w:tcW w:w="3483" w:type="dxa"/>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中资银行业金融机构及其分支机构变更、终止以及业务范围审批</w:t>
            </w:r>
          </w:p>
        </w:tc>
        <w:tc>
          <w:tcPr>
            <w:tcW w:w="1920" w:type="dxa"/>
            <w:vAlign w:val="center"/>
          </w:tcPr>
          <w:p>
            <w:pPr>
              <w:adjustRightInd w:val="0"/>
              <w:snapToGrid w:val="0"/>
              <w:spacing w:line="340" w:lineRule="exact"/>
              <w:jc w:val="center"/>
              <w:rPr>
                <w:rFonts w:hint="eastAsia" w:ascii="宋体" w:hAnsi="宋体" w:eastAsia="宋体"/>
                <w:sz w:val="20"/>
                <w:szCs w:val="20"/>
              </w:rPr>
            </w:pPr>
            <w:r>
              <w:rPr>
                <w:rFonts w:hint="eastAsia" w:ascii="宋体" w:hAnsi="宋体" w:eastAsia="宋体"/>
                <w:sz w:val="20"/>
                <w:szCs w:val="20"/>
              </w:rPr>
              <w:t>银监会</w:t>
            </w:r>
          </w:p>
        </w:tc>
        <w:tc>
          <w:tcPr>
            <w:tcW w:w="3932" w:type="dxa"/>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《中华人民共和国银行业监督管理法》</w:t>
            </w:r>
          </w:p>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《中华人民共和国商业银行法》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288"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12</w:t>
            </w:r>
          </w:p>
        </w:tc>
        <w:tc>
          <w:tcPr>
            <w:tcW w:w="3483" w:type="dxa"/>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非银行金融机构（分支机构）变更、终止以及业务范围审批</w:t>
            </w:r>
          </w:p>
        </w:tc>
        <w:tc>
          <w:tcPr>
            <w:tcW w:w="1920" w:type="dxa"/>
            <w:vAlign w:val="center"/>
          </w:tcPr>
          <w:p>
            <w:pPr>
              <w:adjustRightInd w:val="0"/>
              <w:snapToGrid w:val="0"/>
              <w:spacing w:line="340" w:lineRule="exact"/>
              <w:jc w:val="center"/>
              <w:rPr>
                <w:rFonts w:hint="eastAsia" w:ascii="宋体" w:hAnsi="宋体" w:eastAsia="宋体"/>
                <w:sz w:val="20"/>
                <w:szCs w:val="20"/>
              </w:rPr>
            </w:pPr>
            <w:r>
              <w:rPr>
                <w:rFonts w:hint="eastAsia" w:ascii="宋体" w:hAnsi="宋体" w:eastAsia="宋体"/>
                <w:sz w:val="20"/>
                <w:szCs w:val="20"/>
              </w:rPr>
              <w:t>银监会</w:t>
            </w:r>
          </w:p>
        </w:tc>
        <w:tc>
          <w:tcPr>
            <w:tcW w:w="3932" w:type="dxa"/>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sz w:val="20"/>
                <w:szCs w:val="20"/>
              </w:rPr>
              <w:t>《中华人民共和国银行业监督管理法》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13</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外资银行变更注册资本或者营运资金、变更机构名称、营业场所或者办公场所、调整业务范围、变更股东或者调整股东持股比例、修改章程以及终结审批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银监会</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《外资银行管理条例》（国务院令第478号）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14</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sz w:val="20"/>
                <w:szCs w:val="20"/>
              </w:rPr>
              <w:t>外国银行代表处变更及终止审批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银监会</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《外资银行管理条例》（国务院令第478号）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462"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15</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融资性担保机构变更审批</w:t>
            </w:r>
          </w:p>
        </w:tc>
        <w:tc>
          <w:tcPr>
            <w:tcW w:w="1920"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省级人民政府确定的部门</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《国务院对确需保留的行政审批项目设定行政许可的决定》（国务院令第412号）</w:t>
            </w:r>
          </w:p>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《国务院对确需保留的行政审批项目设定行政许可的决定》（国务院令第548号）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67"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16</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证券登记结算机构解散审批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证监会</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s="宋体"/>
                <w:kern w:val="0"/>
                <w:sz w:val="20"/>
                <w:szCs w:val="20"/>
              </w:rPr>
              <w:t>中华人民共和国</w:t>
            </w:r>
            <w:r>
              <w:rPr>
                <w:rFonts w:hint="eastAsia" w:ascii="宋体" w:hAnsi="宋体" w:eastAsia="宋体"/>
                <w:color w:val="000000"/>
                <w:sz w:val="20"/>
                <w:szCs w:val="20"/>
              </w:rPr>
              <w:t>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67"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17</w:t>
            </w:r>
          </w:p>
        </w:tc>
        <w:tc>
          <w:tcPr>
            <w:tcW w:w="3483" w:type="dxa"/>
            <w:vAlign w:val="center"/>
          </w:tcPr>
          <w:p>
            <w:pPr>
              <w:pStyle w:val="2"/>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证券公司为客户买卖证券提供融资融券服务审批</w:t>
            </w:r>
          </w:p>
        </w:tc>
        <w:tc>
          <w:tcPr>
            <w:tcW w:w="1920" w:type="dxa"/>
            <w:vAlign w:val="center"/>
          </w:tcPr>
          <w:p>
            <w:pPr>
              <w:pStyle w:val="2"/>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证监会</w:t>
            </w:r>
          </w:p>
        </w:tc>
        <w:tc>
          <w:tcPr>
            <w:tcW w:w="3932" w:type="dxa"/>
            <w:vAlign w:val="center"/>
          </w:tcPr>
          <w:p>
            <w:pPr>
              <w:pStyle w:val="2"/>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w:t>
            </w:r>
            <w:r>
              <w:rPr>
                <w:rFonts w:hint="eastAsia" w:ascii="宋体" w:hAnsi="宋体" w:cs="宋体"/>
                <w:kern w:val="0"/>
                <w:sz w:val="20"/>
                <w:szCs w:val="20"/>
              </w:rPr>
              <w:t>中华人民共和国</w:t>
            </w:r>
            <w:r>
              <w:rPr>
                <w:rFonts w:hint="eastAsia" w:ascii="宋体" w:hAnsi="宋体"/>
                <w:color w:val="000000"/>
                <w:sz w:val="20"/>
                <w:szCs w:val="20"/>
              </w:rPr>
              <w:t>证券法》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18</w:t>
            </w:r>
          </w:p>
        </w:tc>
        <w:tc>
          <w:tcPr>
            <w:tcW w:w="3483" w:type="dxa"/>
            <w:vAlign w:val="center"/>
          </w:tcPr>
          <w:p>
            <w:pPr>
              <w:pStyle w:val="6"/>
              <w:adjustRightInd w:val="0"/>
              <w:snapToGrid w:val="0"/>
              <w:spacing w:line="340" w:lineRule="exact"/>
              <w:rPr>
                <w:rFonts w:hint="eastAsia" w:ascii="宋体" w:hAnsi="宋体"/>
                <w:color w:val="000000"/>
                <w:sz w:val="20"/>
                <w:szCs w:val="20"/>
              </w:rPr>
            </w:pPr>
            <w:r>
              <w:rPr>
                <w:rFonts w:ascii="宋体" w:hAnsi="宋体"/>
                <w:color w:val="000000"/>
                <w:sz w:val="20"/>
                <w:szCs w:val="20"/>
              </w:rPr>
              <w:t>证券公司</w:t>
            </w:r>
            <w:r>
              <w:rPr>
                <w:rFonts w:hint="eastAsia" w:ascii="宋体" w:hAnsi="宋体"/>
                <w:color w:val="000000"/>
                <w:sz w:val="20"/>
                <w:szCs w:val="20"/>
              </w:rPr>
              <w:t>设立、</w:t>
            </w:r>
            <w:r>
              <w:rPr>
                <w:rFonts w:ascii="宋体" w:hAnsi="宋体"/>
                <w:color w:val="000000"/>
                <w:sz w:val="20"/>
                <w:szCs w:val="20"/>
              </w:rPr>
              <w:t>收购或者撤销分支机构</w:t>
            </w:r>
            <w:r>
              <w:rPr>
                <w:rFonts w:hint="eastAsia" w:ascii="宋体" w:hAnsi="宋体"/>
                <w:color w:val="000000"/>
                <w:sz w:val="20"/>
                <w:szCs w:val="20"/>
              </w:rPr>
              <w:t>，</w:t>
            </w:r>
            <w:r>
              <w:rPr>
                <w:rFonts w:ascii="宋体" w:hAnsi="宋体"/>
                <w:color w:val="000000"/>
                <w:sz w:val="20"/>
                <w:szCs w:val="20"/>
              </w:rPr>
              <w:t>变更业务范围</w:t>
            </w:r>
            <w:r>
              <w:rPr>
                <w:rFonts w:hint="eastAsia" w:ascii="宋体" w:hAnsi="宋体"/>
                <w:color w:val="000000"/>
                <w:sz w:val="20"/>
                <w:szCs w:val="20"/>
              </w:rPr>
              <w:t>，</w:t>
            </w:r>
            <w:r>
              <w:rPr>
                <w:rFonts w:ascii="宋体" w:hAnsi="宋体"/>
                <w:color w:val="000000"/>
                <w:sz w:val="20"/>
                <w:szCs w:val="20"/>
              </w:rPr>
              <w:t>增加注册资本且股权结构发生重大调整，减少注册资本，变更持有百分之五以上股权的股东，变更公司章程中的重要条款，合并、分立、解散、破产</w:t>
            </w:r>
            <w:r>
              <w:rPr>
                <w:rFonts w:hint="eastAsia" w:ascii="宋体" w:hAnsi="宋体"/>
                <w:color w:val="000000"/>
                <w:sz w:val="20"/>
                <w:szCs w:val="20"/>
              </w:rPr>
              <w:t>审批</w:t>
            </w:r>
          </w:p>
        </w:tc>
        <w:tc>
          <w:tcPr>
            <w:tcW w:w="1920" w:type="dxa"/>
            <w:vAlign w:val="center"/>
          </w:tcPr>
          <w:p>
            <w:pPr>
              <w:pStyle w:val="6"/>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证监会</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s="宋体"/>
                <w:kern w:val="0"/>
                <w:sz w:val="20"/>
                <w:szCs w:val="20"/>
              </w:rPr>
              <w:t>中华人民共和国</w:t>
            </w:r>
            <w:r>
              <w:rPr>
                <w:rFonts w:hint="eastAsia" w:ascii="宋体" w:hAnsi="宋体" w:eastAsia="宋体"/>
                <w:color w:val="000000"/>
                <w:sz w:val="20"/>
                <w:szCs w:val="20"/>
              </w:rPr>
              <w:t>证券法》</w:t>
            </w:r>
            <w:bookmarkStart w:id="0" w:name="up"/>
            <w:bookmarkEnd w:id="0"/>
            <w:r>
              <w:rPr>
                <w:rFonts w:ascii="宋体" w:hAnsi="宋体" w:eastAsia="宋体"/>
                <w:color w:val="000000"/>
                <w:sz w:val="20"/>
                <w:szCs w:val="20"/>
              </w:rPr>
              <w:t>　</w:t>
            </w:r>
          </w:p>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《证券公司监督管理条例》（国务院令第522号)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19</w:t>
            </w:r>
          </w:p>
        </w:tc>
        <w:tc>
          <w:tcPr>
            <w:tcW w:w="3483" w:type="dxa"/>
            <w:vAlign w:val="center"/>
          </w:tcPr>
          <w:p>
            <w:pPr>
              <w:pStyle w:val="6"/>
              <w:adjustRightInd w:val="0"/>
              <w:snapToGrid w:val="0"/>
              <w:spacing w:line="340" w:lineRule="exact"/>
              <w:rPr>
                <w:rFonts w:hint="eastAsia"/>
              </w:rPr>
            </w:pPr>
            <w:r>
              <w:rPr>
                <w:rFonts w:hint="eastAsia" w:ascii="宋体" w:hAnsi="宋体"/>
                <w:color w:val="000000"/>
                <w:sz w:val="20"/>
                <w:szCs w:val="20"/>
              </w:rPr>
              <w:t>证券金融公司解散审批</w:t>
            </w:r>
          </w:p>
        </w:tc>
        <w:tc>
          <w:tcPr>
            <w:tcW w:w="1920" w:type="dxa"/>
            <w:vAlign w:val="center"/>
          </w:tcPr>
          <w:p>
            <w:pPr>
              <w:pStyle w:val="6"/>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国务院</w:t>
            </w:r>
          </w:p>
        </w:tc>
        <w:tc>
          <w:tcPr>
            <w:tcW w:w="3932" w:type="dxa"/>
            <w:vAlign w:val="center"/>
          </w:tcPr>
          <w:p>
            <w:pPr>
              <w:spacing w:line="340" w:lineRule="exact"/>
              <w:rPr>
                <w:rFonts w:hint="eastAsia" w:ascii="宋体" w:hAnsi="宋体" w:eastAsia="宋体"/>
                <w:color w:val="000000"/>
                <w:sz w:val="20"/>
                <w:szCs w:val="20"/>
              </w:rPr>
            </w:pPr>
            <w:r>
              <w:rPr>
                <w:rFonts w:hint="eastAsia" w:ascii="宋体" w:hAnsi="宋体" w:eastAsia="宋体"/>
                <w:color w:val="000000"/>
                <w:sz w:val="20"/>
                <w:szCs w:val="20"/>
              </w:rPr>
              <w:t xml:space="preserve">《证券公司监督管理条例》（国务院令第522号)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20</w:t>
            </w:r>
          </w:p>
        </w:tc>
        <w:tc>
          <w:tcPr>
            <w:tcW w:w="3483" w:type="dxa"/>
            <w:vAlign w:val="center"/>
          </w:tcPr>
          <w:p>
            <w:pPr>
              <w:pStyle w:val="6"/>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期货公司境内及境外期货经纪业务、期货投资咨询业务许可</w:t>
            </w:r>
          </w:p>
        </w:tc>
        <w:tc>
          <w:tcPr>
            <w:tcW w:w="1920" w:type="dxa"/>
            <w:vAlign w:val="center"/>
          </w:tcPr>
          <w:p>
            <w:pPr>
              <w:pStyle w:val="6"/>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证监会</w:t>
            </w:r>
          </w:p>
        </w:tc>
        <w:tc>
          <w:tcPr>
            <w:tcW w:w="3932" w:type="dxa"/>
            <w:vAlign w:val="center"/>
          </w:tcPr>
          <w:p>
            <w:pPr>
              <w:spacing w:line="340" w:lineRule="exact"/>
              <w:rPr>
                <w:rFonts w:hint="eastAsia" w:ascii="宋体" w:hAnsi="宋体" w:eastAsia="宋体"/>
                <w:color w:val="000000"/>
                <w:sz w:val="20"/>
                <w:szCs w:val="20"/>
              </w:rPr>
            </w:pPr>
            <w:r>
              <w:rPr>
                <w:rFonts w:hint="eastAsia" w:ascii="宋体" w:hAnsi="宋体" w:eastAsia="宋体"/>
                <w:color w:val="000000"/>
                <w:sz w:val="20"/>
                <w:szCs w:val="20"/>
              </w:rPr>
              <w:t>《期货交易管理条例》（国务院令第627）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jc w:val="center"/>
              <w:rPr>
                <w:rFonts w:hint="eastAsia" w:ascii="宋体" w:hAnsi="宋体" w:eastAsia="宋体" w:cs="黑体"/>
                <w:color w:val="000000"/>
                <w:sz w:val="20"/>
                <w:szCs w:val="20"/>
              </w:rPr>
            </w:pPr>
            <w:r>
              <w:rPr>
                <w:rFonts w:hint="eastAsia" w:ascii="宋体" w:hAnsi="宋体" w:eastAsia="宋体" w:cs="黑体"/>
                <w:color w:val="000000"/>
                <w:sz w:val="20"/>
                <w:szCs w:val="20"/>
              </w:rPr>
              <w:t>21</w:t>
            </w:r>
          </w:p>
        </w:tc>
        <w:tc>
          <w:tcPr>
            <w:tcW w:w="3483" w:type="dxa"/>
            <w:vAlign w:val="center"/>
          </w:tcPr>
          <w:p>
            <w:pPr>
              <w:pStyle w:val="6"/>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期货公司合并、分立、解散或者破产、变更业务范围、变更注册资本且调整股权结构、新增持有5%以上股权的股东或者控股股东发生变化审批</w:t>
            </w:r>
          </w:p>
        </w:tc>
        <w:tc>
          <w:tcPr>
            <w:tcW w:w="1920" w:type="dxa"/>
            <w:vAlign w:val="center"/>
          </w:tcPr>
          <w:p>
            <w:pPr>
              <w:pStyle w:val="6"/>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证监会</w:t>
            </w:r>
          </w:p>
        </w:tc>
        <w:tc>
          <w:tcPr>
            <w:tcW w:w="3932" w:type="dxa"/>
            <w:vAlign w:val="center"/>
          </w:tcPr>
          <w:p>
            <w:pPr>
              <w:spacing w:line="340" w:lineRule="exact"/>
              <w:rPr>
                <w:rFonts w:hint="eastAsia" w:ascii="宋体" w:hAnsi="宋体" w:eastAsia="宋体"/>
                <w:color w:val="000000"/>
                <w:sz w:val="20"/>
                <w:szCs w:val="20"/>
              </w:rPr>
            </w:pPr>
            <w:r>
              <w:rPr>
                <w:rFonts w:hint="eastAsia" w:ascii="宋体" w:hAnsi="宋体" w:eastAsia="宋体"/>
                <w:color w:val="000000"/>
                <w:sz w:val="20"/>
                <w:szCs w:val="20"/>
              </w:rPr>
              <w:t>《期货交易管理条例》（国务院令第627）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22</w:t>
            </w:r>
          </w:p>
        </w:tc>
        <w:tc>
          <w:tcPr>
            <w:tcW w:w="3483" w:type="dxa"/>
            <w:vAlign w:val="center"/>
          </w:tcPr>
          <w:p>
            <w:pPr>
              <w:spacing w:line="340" w:lineRule="exact"/>
              <w:rPr>
                <w:rFonts w:hint="eastAsia" w:ascii="宋体" w:hAnsi="宋体" w:eastAsia="宋体" w:cs="仿宋_GB2312"/>
                <w:color w:val="000000"/>
                <w:sz w:val="20"/>
                <w:szCs w:val="20"/>
              </w:rPr>
            </w:pPr>
            <w:r>
              <w:rPr>
                <w:rFonts w:hint="eastAsia" w:ascii="宋体" w:hAnsi="宋体" w:eastAsia="宋体"/>
                <w:color w:val="000000"/>
                <w:sz w:val="20"/>
                <w:szCs w:val="20"/>
              </w:rPr>
              <w:t>外国证券类机构驻华代表机构名称变更核准</w:t>
            </w:r>
          </w:p>
        </w:tc>
        <w:tc>
          <w:tcPr>
            <w:tcW w:w="1920" w:type="dxa"/>
            <w:vAlign w:val="center"/>
          </w:tcPr>
          <w:p>
            <w:pPr>
              <w:spacing w:line="340" w:lineRule="exact"/>
              <w:jc w:val="center"/>
              <w:rPr>
                <w:rFonts w:hint="eastAsia" w:ascii="宋体" w:hAnsi="宋体" w:eastAsia="宋体" w:cs="仿宋_GB2312"/>
                <w:color w:val="000000"/>
                <w:sz w:val="20"/>
                <w:szCs w:val="20"/>
              </w:rPr>
            </w:pPr>
            <w:r>
              <w:rPr>
                <w:rFonts w:hint="eastAsia" w:ascii="宋体" w:hAnsi="宋体" w:eastAsia="宋体"/>
                <w:color w:val="000000"/>
                <w:sz w:val="20"/>
                <w:szCs w:val="20"/>
              </w:rPr>
              <w:t>证监会</w:t>
            </w:r>
          </w:p>
        </w:tc>
        <w:tc>
          <w:tcPr>
            <w:tcW w:w="3932" w:type="dxa"/>
            <w:vAlign w:val="center"/>
          </w:tcPr>
          <w:p>
            <w:pPr>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《国务院对确需保留的行政审批项目设定行政许可的决定》（国务院令第412号）</w:t>
            </w:r>
          </w:p>
          <w:p>
            <w:pPr>
              <w:spacing w:line="340" w:lineRule="exact"/>
              <w:rPr>
                <w:rFonts w:hint="eastAsia" w:ascii="宋体" w:hAnsi="宋体" w:eastAsia="宋体" w:cs="仿宋_GB2312"/>
                <w:color w:val="000000"/>
                <w:sz w:val="20"/>
                <w:szCs w:val="20"/>
              </w:rPr>
            </w:pPr>
            <w:r>
              <w:rPr>
                <w:rFonts w:hint="eastAsia" w:ascii="宋体" w:hAnsi="宋体" w:eastAsia="宋体"/>
                <w:color w:val="000000"/>
                <w:sz w:val="20"/>
                <w:szCs w:val="20"/>
              </w:rPr>
              <w:t>《国务院关于管理外国企业常驻代表机构的暂行规定》（国发〔1980〕272号）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23</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宋体"/>
                <w:color w:val="000000"/>
                <w:kern w:val="0"/>
                <w:sz w:val="20"/>
                <w:szCs w:val="20"/>
              </w:rPr>
              <w:t>使用“交易所”字样的交易场所审批</w:t>
            </w:r>
          </w:p>
        </w:tc>
        <w:tc>
          <w:tcPr>
            <w:tcW w:w="1920" w:type="dxa"/>
            <w:vAlign w:val="center"/>
          </w:tcPr>
          <w:p>
            <w:pPr>
              <w:adjustRightInd w:val="0"/>
              <w:snapToGrid w:val="0"/>
              <w:spacing w:line="3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国务院或国务院金融管理部门、省级人民政府</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《国务院关于清理整顿各类交易场所切实防范金融风险的决定》（国发〔2011〕38号）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24</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宋体"/>
                <w:color w:val="000000"/>
                <w:kern w:val="0"/>
                <w:sz w:val="20"/>
                <w:szCs w:val="20"/>
              </w:rPr>
              <w:t>从事保险、信贷、黄金等金融产品交易的交易场所审批</w:t>
            </w:r>
          </w:p>
        </w:tc>
        <w:tc>
          <w:tcPr>
            <w:tcW w:w="1920" w:type="dxa"/>
            <w:vAlign w:val="center"/>
          </w:tcPr>
          <w:p>
            <w:pPr>
              <w:adjustRightInd w:val="0"/>
              <w:snapToGrid w:val="0"/>
              <w:spacing w:line="3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国务院相关金融管理部门</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《国务院关于清理整顿各类交易场所切实防范金融风险的决定》（国发〔2011〕38号）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25</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保监会</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s="宋体"/>
                <w:kern w:val="0"/>
                <w:sz w:val="20"/>
                <w:szCs w:val="20"/>
              </w:rPr>
              <w:t>中华人民共和国</w:t>
            </w:r>
            <w:r>
              <w:rPr>
                <w:rFonts w:hint="eastAsia" w:ascii="宋体" w:hAnsi="宋体" w:eastAsia="宋体"/>
                <w:color w:val="000000"/>
                <w:sz w:val="20"/>
                <w:szCs w:val="20"/>
              </w:rPr>
              <w:t>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26</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专属自保组织和相互保险组织合并、分立、变更、解散审批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保监会</w:t>
            </w:r>
          </w:p>
        </w:tc>
        <w:tc>
          <w:tcPr>
            <w:tcW w:w="3932" w:type="dxa"/>
            <w:vAlign w:val="center"/>
          </w:tcPr>
          <w:p>
            <w:pPr>
              <w:adjustRightInd w:val="0"/>
              <w:snapToGrid w:val="0"/>
              <w:spacing w:line="340" w:lineRule="exact"/>
              <w:rPr>
                <w:rFonts w:hint="eastAsia" w:ascii="宋体" w:hAnsi="宋体" w:eastAsia="宋体"/>
                <w:sz w:val="20"/>
                <w:szCs w:val="20"/>
              </w:rPr>
            </w:pPr>
            <w:r>
              <w:rPr>
                <w:rFonts w:hint="eastAsia" w:ascii="宋体" w:hAnsi="宋体" w:eastAsia="宋体"/>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27</w:t>
            </w:r>
          </w:p>
        </w:tc>
        <w:tc>
          <w:tcPr>
            <w:tcW w:w="3483" w:type="dxa"/>
            <w:vAlign w:val="center"/>
          </w:tcPr>
          <w:p>
            <w:pPr>
              <w:pStyle w:val="6"/>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保险资产管理公司重大事项变更审批。保险资产管理公司及其分支机构终止（解散、破产和分支机构撤销）审批</w:t>
            </w:r>
          </w:p>
        </w:tc>
        <w:tc>
          <w:tcPr>
            <w:tcW w:w="1920" w:type="dxa"/>
            <w:vAlign w:val="center"/>
          </w:tcPr>
          <w:p>
            <w:pPr>
              <w:pStyle w:val="6"/>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保监会</w:t>
            </w:r>
          </w:p>
          <w:p>
            <w:pPr>
              <w:pStyle w:val="6"/>
              <w:adjustRightInd w:val="0"/>
              <w:snapToGrid w:val="0"/>
              <w:spacing w:line="340" w:lineRule="exact"/>
              <w:jc w:val="center"/>
              <w:rPr>
                <w:rFonts w:hint="eastAsia" w:ascii="宋体" w:hAnsi="宋体"/>
                <w:color w:val="000000"/>
                <w:sz w:val="20"/>
                <w:szCs w:val="20"/>
              </w:rPr>
            </w:pPr>
            <w:r>
              <w:rPr>
                <w:rFonts w:hint="eastAsia" w:ascii="宋体" w:hAnsi="宋体"/>
                <w:color w:val="000000"/>
                <w:sz w:val="20"/>
                <w:szCs w:val="20"/>
              </w:rPr>
              <w:t>（会同证监会）</w:t>
            </w:r>
          </w:p>
        </w:tc>
        <w:tc>
          <w:tcPr>
            <w:tcW w:w="3932" w:type="dxa"/>
            <w:vAlign w:val="center"/>
          </w:tcPr>
          <w:p>
            <w:pPr>
              <w:pStyle w:val="6"/>
              <w:adjustRightInd w:val="0"/>
              <w:snapToGrid w:val="0"/>
              <w:spacing w:line="340" w:lineRule="exact"/>
              <w:rPr>
                <w:rFonts w:hint="eastAsia" w:ascii="宋体" w:hAnsi="宋体"/>
                <w:color w:val="000000"/>
                <w:sz w:val="20"/>
                <w:szCs w:val="20"/>
              </w:rPr>
            </w:pPr>
            <w:r>
              <w:rPr>
                <w:rFonts w:hint="eastAsia" w:ascii="宋体" w:hAnsi="宋体"/>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28</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保险集团公司及保险控股公司合并、分立、变更、解散审批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保监会</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89"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29</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外国保险机构驻华代表机构重大事项变更审批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保监会</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《国务院对确需保留的行政审批项目设定行政许可的决定》（国务院令第412号）</w:t>
            </w:r>
          </w:p>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《国务院关于发布〈中华人民共和国国务院关于管理外国企业常驻代表机构的暂行规定〉的通知》（国发〔1980〕272号）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10"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30</w:t>
            </w:r>
          </w:p>
        </w:tc>
        <w:tc>
          <w:tcPr>
            <w:tcW w:w="3483"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s="仿宋_GB2312"/>
                <w:sz w:val="20"/>
                <w:szCs w:val="20"/>
              </w:rPr>
              <w:t>烟草制品生产企业分立、合并、撤销的审批</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hint="eastAsia" w:ascii="宋体" w:hAnsi="宋体" w:eastAsia="宋体"/>
                <w:color w:val="000000"/>
                <w:sz w:val="20"/>
                <w:szCs w:val="20"/>
              </w:rPr>
              <w:t>国家烟草专卖局</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《中华人民共和国烟草专卖法》</w:t>
            </w:r>
          </w:p>
          <w:p>
            <w:pPr>
              <w:adjustRightInd w:val="0"/>
              <w:snapToGrid w:val="0"/>
              <w:spacing w:line="340" w:lineRule="exact"/>
              <w:rPr>
                <w:rFonts w:hint="eastAsia" w:ascii="宋体" w:hAnsi="宋体" w:eastAsia="宋体"/>
                <w:color w:val="000000"/>
                <w:sz w:val="20"/>
                <w:szCs w:val="20"/>
              </w:rPr>
            </w:pPr>
            <w:r>
              <w:rPr>
                <w:rFonts w:hint="eastAsia" w:ascii="宋体" w:hAnsi="宋体" w:eastAsia="宋体"/>
                <w:color w:val="000000"/>
                <w:sz w:val="20"/>
                <w:szCs w:val="20"/>
              </w:rPr>
              <w:t>《烟草专卖法实施条例》（国务院令第223号）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510" w:hRule="atLeast"/>
          <w:jc w:val="center"/>
        </w:trPr>
        <w:tc>
          <w:tcPr>
            <w:tcW w:w="837" w:type="dxa"/>
            <w:vAlign w:val="center"/>
          </w:tcPr>
          <w:p>
            <w:pPr>
              <w:adjustRightInd w:val="0"/>
              <w:snapToGrid w:val="0"/>
              <w:spacing w:line="320" w:lineRule="exact"/>
              <w:jc w:val="center"/>
              <w:rPr>
                <w:rFonts w:hint="eastAsia" w:ascii="宋体" w:hAnsi="宋体" w:eastAsia="宋体" w:cs="黑体"/>
                <w:color w:val="000000"/>
                <w:sz w:val="20"/>
                <w:szCs w:val="20"/>
              </w:rPr>
            </w:pPr>
            <w:r>
              <w:rPr>
                <w:rFonts w:hint="eastAsia" w:ascii="宋体" w:hAnsi="宋体" w:eastAsia="宋体" w:cs="黑体"/>
                <w:color w:val="000000"/>
                <w:sz w:val="20"/>
                <w:szCs w:val="20"/>
              </w:rPr>
              <w:t>31</w:t>
            </w:r>
          </w:p>
        </w:tc>
        <w:tc>
          <w:tcPr>
            <w:tcW w:w="3483" w:type="dxa"/>
            <w:vAlign w:val="center"/>
          </w:tcPr>
          <w:p>
            <w:pPr>
              <w:adjustRightInd w:val="0"/>
              <w:snapToGrid w:val="0"/>
              <w:spacing w:line="340" w:lineRule="exact"/>
              <w:rPr>
                <w:rFonts w:hint="eastAsia" w:ascii="宋体" w:hAnsi="宋体" w:eastAsia="宋体" w:cs="仿宋_GB2312"/>
                <w:sz w:val="20"/>
                <w:szCs w:val="20"/>
              </w:rPr>
            </w:pPr>
            <w:r>
              <w:rPr>
                <w:rFonts w:hint="eastAsia" w:ascii="宋体" w:hAnsi="宋体" w:eastAsia="宋体" w:cs="宋体"/>
                <w:kern w:val="0"/>
                <w:sz w:val="20"/>
                <w:szCs w:val="20"/>
              </w:rPr>
              <w:t>营利性民办学校(营利性民办培训机构)</w:t>
            </w:r>
            <w:r>
              <w:rPr>
                <w:sz w:val="18"/>
                <w:szCs w:val="18"/>
              </w:rPr>
              <w:t xml:space="preserve"> </w:t>
            </w:r>
            <w:r>
              <w:rPr>
                <w:rFonts w:ascii="宋体" w:hAnsi="宋体" w:eastAsia="宋体" w:cs="宋体"/>
                <w:kern w:val="0"/>
                <w:sz w:val="20"/>
                <w:szCs w:val="20"/>
              </w:rPr>
              <w:t>名称、层次、类别的变更</w:t>
            </w:r>
            <w:r>
              <w:rPr>
                <w:rFonts w:hint="eastAsia" w:ascii="宋体" w:hAnsi="宋体" w:eastAsia="宋体" w:cs="宋体"/>
                <w:kern w:val="0"/>
                <w:sz w:val="20"/>
                <w:szCs w:val="20"/>
              </w:rPr>
              <w:t>，分立，合并，终止</w:t>
            </w:r>
          </w:p>
        </w:tc>
        <w:tc>
          <w:tcPr>
            <w:tcW w:w="1920" w:type="dxa"/>
            <w:vAlign w:val="center"/>
          </w:tcPr>
          <w:p>
            <w:pPr>
              <w:adjustRightInd w:val="0"/>
              <w:snapToGrid w:val="0"/>
              <w:spacing w:line="340" w:lineRule="exact"/>
              <w:jc w:val="center"/>
              <w:rPr>
                <w:rFonts w:hint="eastAsia" w:ascii="宋体" w:hAnsi="宋体" w:eastAsia="宋体"/>
                <w:color w:val="000000"/>
                <w:sz w:val="20"/>
                <w:szCs w:val="20"/>
              </w:rPr>
            </w:pPr>
            <w:r>
              <w:rPr>
                <w:rFonts w:ascii="宋体" w:hAnsi="宋体" w:eastAsia="宋体" w:cs="宋体"/>
                <w:kern w:val="0"/>
                <w:sz w:val="20"/>
                <w:szCs w:val="20"/>
              </w:rPr>
              <w:t>县级以上人民政府教育行政部门</w:t>
            </w:r>
            <w:r>
              <w:rPr>
                <w:rFonts w:hint="eastAsia" w:ascii="宋体" w:hAnsi="宋体" w:eastAsia="宋体" w:cs="宋体"/>
                <w:kern w:val="0"/>
                <w:sz w:val="20"/>
                <w:szCs w:val="20"/>
              </w:rPr>
              <w:t>、县级以上人民政府劳动和社会保障行政部门</w:t>
            </w:r>
          </w:p>
        </w:tc>
        <w:tc>
          <w:tcPr>
            <w:tcW w:w="3932" w:type="dxa"/>
            <w:vAlign w:val="center"/>
          </w:tcPr>
          <w:p>
            <w:pPr>
              <w:adjustRightInd w:val="0"/>
              <w:snapToGrid w:val="0"/>
              <w:spacing w:line="340" w:lineRule="exact"/>
              <w:rPr>
                <w:rFonts w:hint="eastAsia" w:ascii="宋体" w:hAnsi="宋体" w:eastAsia="宋体"/>
                <w:color w:val="000000"/>
                <w:sz w:val="20"/>
                <w:szCs w:val="20"/>
              </w:rPr>
            </w:pPr>
            <w:r>
              <w:rPr>
                <w:rFonts w:ascii="宋体" w:hAnsi="宋体" w:eastAsia="宋体" w:cs="宋体"/>
                <w:kern w:val="0"/>
                <w:sz w:val="20"/>
                <w:szCs w:val="20"/>
              </w:rPr>
              <w:t>《中华人民共和国民办教育促进法》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Ex>
        <w:trPr>
          <w:cantSplit/>
          <w:trHeight w:val="935" w:hRule="atLeast"/>
          <w:jc w:val="center"/>
        </w:trPr>
        <w:tc>
          <w:tcPr>
            <w:tcW w:w="10172" w:type="dxa"/>
            <w:gridSpan w:val="4"/>
            <w:vAlign w:val="center"/>
          </w:tcPr>
          <w:p>
            <w:pPr>
              <w:ind w:left="-3" w:leftChars="-1" w:firstLine="226" w:firstLineChars="103"/>
              <w:rPr>
                <w:rFonts w:hint="eastAsia" w:ascii="宋体" w:hAnsi="宋体" w:eastAsia="宋体"/>
                <w:color w:val="000000"/>
                <w:sz w:val="22"/>
                <w:szCs w:val="20"/>
              </w:rPr>
            </w:pPr>
            <w:r>
              <w:rPr>
                <w:rFonts w:hint="eastAsia" w:ascii="宋体" w:hAnsi="宋体" w:eastAsia="宋体"/>
                <w:color w:val="000000"/>
                <w:sz w:val="22"/>
                <w:szCs w:val="20"/>
              </w:rPr>
              <w:t>注：以上前置审批事项，涉及工商登记事项的，凭审批文件办理变更、注销登记。</w:t>
            </w:r>
          </w:p>
        </w:tc>
      </w:tr>
    </w:tbl>
    <w:p>
      <w:pPr>
        <w:rPr>
          <w:rFonts w:hint="eastAsia"/>
        </w:rPr>
      </w:pPr>
    </w:p>
    <w:p>
      <w:bookmarkStart w:id="1" w:name="_GoBack"/>
      <w:bookmarkEnd w:id="1"/>
    </w:p>
    <w:sectPr>
      <w:pgSz w:w="11906" w:h="16838"/>
      <w:pgMar w:top="1440" w:right="1800" w:bottom="1440" w:left="1800" w:header="851" w:footer="992"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B13FA"/>
    <w:rsid w:val="4FDB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rFonts w:ascii="Times New Roman" w:hAnsi="Times New Roman" w:eastAsia="宋体"/>
      <w:sz w:val="18"/>
      <w:szCs w:val="18"/>
    </w:rPr>
  </w:style>
  <w:style w:type="paragraph" w:styleId="3">
    <w:name w:val="footer"/>
    <w:basedOn w:val="1"/>
    <w:uiPriority w:val="0"/>
    <w:pPr>
      <w:tabs>
        <w:tab w:val="center" w:pos="4153"/>
        <w:tab w:val="right" w:pos="8306"/>
      </w:tabs>
      <w:snapToGrid w:val="0"/>
      <w:jc w:val="left"/>
    </w:pPr>
    <w:rPr>
      <w:rFonts w:ascii="Times New Roman" w:hAnsi="Times New Roman" w:eastAsia="宋体"/>
      <w:sz w:val="18"/>
      <w:szCs w:val="18"/>
    </w:rPr>
  </w:style>
  <w:style w:type="paragraph" w:customStyle="1" w:styleId="6">
    <w:name w:val="正文 New"/>
    <w:basedOn w:val="1"/>
    <w:qFormat/>
    <w:uiPriority w:val="0"/>
    <w:pPr>
      <w:spacing w:line="240" w:lineRule="atLeast"/>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2018-02-13T07:28:00Z</dcterms:created>
  <dc:creator>user</dc:creator>
  <cp:lastModifiedBy>user</cp:lastModifiedBy>
  <dcterms:modified xsi:type="dcterms:W3CDTF">2018-02-13T07:29:07Z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